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E9" w:rsidRPr="003C64E9" w:rsidRDefault="003C64E9" w:rsidP="003C64E9">
      <w:pPr>
        <w:shd w:val="clear" w:color="auto" w:fill="EEEEEE"/>
        <w:spacing w:line="240" w:lineRule="auto"/>
        <w:jc w:val="center"/>
        <w:rPr>
          <w:rFonts w:ascii="Tahoma" w:eastAsia="Times New Roman" w:hAnsi="Tahoma" w:cs="Tahoma"/>
          <w:b/>
          <w:bCs/>
          <w:color w:val="000000"/>
          <w:sz w:val="21"/>
          <w:szCs w:val="21"/>
          <w:lang w:eastAsia="ru-RU"/>
        </w:rPr>
      </w:pPr>
      <w:r w:rsidRPr="003C64E9">
        <w:rPr>
          <w:rFonts w:ascii="Tahoma" w:eastAsia="Times New Roman" w:hAnsi="Tahoma" w:cs="Tahoma"/>
          <w:b/>
          <w:bCs/>
          <w:color w:val="000000"/>
          <w:sz w:val="21"/>
          <w:szCs w:val="21"/>
          <w:lang w:eastAsia="ru-RU"/>
        </w:rPr>
        <w:t>РЕШЕНИЕ от 28 апреля 2018 г. № 34-6-7 с. 1-е Винниково Об исполнении бюджета Винниковского сельсовета Курского района Курской области за 2017 год</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СОБРАНИЕ ДЕПУТАТОВ</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ВИННИКОВСКОГО СЕЛЬСОВЕТА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КУРСКОГО РАЙОНА КУРСКОЙ ОБЛАСТИ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РЕШЕНИЕ</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от 28 апреля 2018 г.</w:t>
      </w:r>
      <w:r w:rsidRPr="003C64E9">
        <w:rPr>
          <w:rFonts w:ascii="Tahoma" w:eastAsia="Times New Roman" w:hAnsi="Tahoma" w:cs="Tahoma"/>
          <w:color w:val="000000"/>
          <w:sz w:val="18"/>
          <w:szCs w:val="18"/>
          <w:lang w:eastAsia="ru-RU"/>
        </w:rPr>
        <w:t>                                                            </w:t>
      </w:r>
      <w:r w:rsidRPr="003C64E9">
        <w:rPr>
          <w:rFonts w:ascii="Tahoma" w:eastAsia="Times New Roman" w:hAnsi="Tahoma" w:cs="Tahoma"/>
          <w:b/>
          <w:bCs/>
          <w:color w:val="000000"/>
          <w:sz w:val="18"/>
          <w:lang w:eastAsia="ru-RU"/>
        </w:rPr>
        <w:t>№ 34-6-7</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с. 1-е Винниково</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Об исполнении бюджета Винниковского сельсовета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Курского района Курской области за 2017 год</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В соответствии со статьей 264.5 Бюджетного Кодекса Российской Федерации, Уставом муниципального образования «Винниковский сельсовет» Курского района Курской области, рассмотрев отчет об исполнении бюджета Винниковского сельсовета Курского района Курской области за 2017 г., Собрание депутатов Винниковского сельсовета Курского района Курской области</w:t>
      </w:r>
      <w:r w:rsidRPr="003C64E9">
        <w:rPr>
          <w:rFonts w:ascii="Tahoma" w:eastAsia="Times New Roman" w:hAnsi="Tahoma" w:cs="Tahoma"/>
          <w:b/>
          <w:bCs/>
          <w:color w:val="000000"/>
          <w:sz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b/>
          <w:bCs/>
          <w:color w:val="000000"/>
          <w:sz w:val="18"/>
          <w:lang w:eastAsia="ru-RU"/>
        </w:rPr>
        <w:t>Р Е Ш И Л О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1. Утвердить отчет  об исполнении бюджета Винниковского сельсовета Курского района Курской области за 2017 год по доходам в сумме 3778914 руб. 73 коп. и по расходам в сумме 4971308 руб. 13 коп., дефицит бюджета составил 1192393 руб. 40 коп. (приложения №1,2,3).</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2. Разместить на официальном сайте Администрации Винниковского сельсовета Курского района Курской области в сети Интернет отчет об исполнении бюджета Винниковского сельсовета Курского района Курской области за 2017 год.</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3. Решение вступает в силу со дня его подписания и подлежит обнародованию в установленном порядке.</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Председатель Собрания депутатов</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Винниковского сельсовета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Курского района  Курской области                                   Шмараева Н.А.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Глава Винниковского сельсовета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Курского района Курской области                                      Машошин И.П.</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Приложение №1</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 решению Собрания депутатов</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Винниковского сельсовета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Курского района Курской области</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34-6-7 от 28.04.2018г.</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Поступление доходов в бюджет Винниковского сельсовета Курского района Курской области за 2017год.</w:t>
      </w:r>
    </w:p>
    <w:tbl>
      <w:tblPr>
        <w:tblW w:w="0" w:type="auto"/>
        <w:tblCellSpacing w:w="0" w:type="dxa"/>
        <w:tblCellMar>
          <w:left w:w="0" w:type="dxa"/>
          <w:right w:w="0" w:type="dxa"/>
        </w:tblCellMar>
        <w:tblLook w:val="04A0"/>
      </w:tblPr>
      <w:tblGrid>
        <w:gridCol w:w="9505"/>
      </w:tblGrid>
      <w:tr w:rsidR="003C64E9" w:rsidRPr="003C64E9" w:rsidTr="003C64E9">
        <w:trPr>
          <w:tblCellSpacing w:w="0" w:type="dxa"/>
        </w:trPr>
        <w:tc>
          <w:tcPr>
            <w:tcW w:w="15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tblPr>
            <w:tblGrid>
              <w:gridCol w:w="2880"/>
              <w:gridCol w:w="1680"/>
              <w:gridCol w:w="1467"/>
              <w:gridCol w:w="1440"/>
              <w:gridCol w:w="1365"/>
            </w:tblGrid>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Наименование показателя</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33"/>
                  </w:tblGrid>
                  <w:tr w:rsidR="003C64E9" w:rsidRPr="003C64E9">
                    <w:trPr>
                      <w:tblCellSpacing w:w="0" w:type="dxa"/>
                    </w:trPr>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Код дохода по бюджетной классификации</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01"/>
                  </w:tblGrid>
                  <w:tr w:rsidR="003C64E9" w:rsidRPr="003C64E9">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Утвержденные бюджетные назначения на2017  на201 на2017 2017</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274"/>
                  </w:tblGrid>
                  <w:tr w:rsidR="003C64E9" w:rsidRPr="003C64E9">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Исполнено за 2017год.</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199"/>
                  </w:tblGrid>
                  <w:tr w:rsidR="003C64E9" w:rsidRPr="003C64E9">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исполнения</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2714"/>
                  </w:tblGrid>
                  <w:tr w:rsidR="003C64E9" w:rsidRPr="003C64E9">
                    <w:trPr>
                      <w:tblCellSpacing w:w="0" w:type="dxa"/>
                    </w:trPr>
                    <w:tc>
                      <w:tcPr>
                        <w:tcW w:w="4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514"/>
                  </w:tblGrid>
                  <w:tr w:rsidR="003C64E9" w:rsidRP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01"/>
                  </w:tblGrid>
                  <w:tr w:rsidR="003C64E9" w:rsidRPr="003C64E9">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274"/>
                  </w:tblGrid>
                  <w:tr w:rsidR="003C64E9" w:rsidRPr="003C64E9">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199"/>
                  </w:tblGrid>
                  <w:tr w:rsidR="003C64E9" w:rsidRPr="003C64E9">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000 1 01 02010 01 0000 110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166 200,00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158 353,94</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95,28</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000 1 01 02020 01 0000 110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232,00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221,52</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95,48</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000 1 01 02030 01 0000 110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3,50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3,41</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97,43</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000 1 06 01030 10 0000 110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66 984,00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63 794,59</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95,24</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000 1 06 06033 10 0000 110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2 256 045,33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2 148 614,67</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95,24</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000 1 06 06043 10 0000 110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260 300,00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247 934,43</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95,25</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000 1 11 05025 10 0000 120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290 275,00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290 275,00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Прочие неналоговые доходы бюджетов сельских поселений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000 1 17 05050 10 0000 180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10,00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10,00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000 2 02 15001 10 0000 151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461 967,17</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461 967,17</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Прочие субсидии бюджетам сельских поселений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000 2 02 29999 10 0000 151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120 680,00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120 680,00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000 2 02 35118 10 0000 151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69 019,00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69 019,00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000 2 02 40014 10 0000 151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72 041,00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72 041,00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xml:space="preserve">Межбюджетные трансферты, передаваемые бюджетам сельских </w:t>
                  </w:r>
                  <w:r w:rsidRPr="003C64E9">
                    <w:rPr>
                      <w:rFonts w:ascii="Times New Roman" w:eastAsia="Times New Roman" w:hAnsi="Times New Roman" w:cs="Times New Roman"/>
                      <w:sz w:val="18"/>
                      <w:szCs w:val="18"/>
                      <w:lang w:eastAsia="ru-RU"/>
                    </w:rPr>
                    <w:lastRenderedPageBreak/>
                    <w:t>поселений на государственную поддержку муниципальных учреждений культуры, находящихся на территориях сельских поселений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000 2 02 45147 10 0000 151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100 000,00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100 000,00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Прочие безвозмездные поступления в бюджеты сельских поселений</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000 2 07 05030 10 0000 180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46 000,00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46 000,00</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r>
    </w:tbl>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lastRenderedPageBreak/>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Приложение №2</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 решению Собрания депутатов</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Винниковского сельсовета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Курского района Курской области</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34-6-7 от 28.04.2018г.</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tbl>
      <w:tblPr>
        <w:tblW w:w="9435" w:type="dxa"/>
        <w:tblCellSpacing w:w="0" w:type="dxa"/>
        <w:tblCellMar>
          <w:left w:w="0" w:type="dxa"/>
          <w:right w:w="0" w:type="dxa"/>
        </w:tblCellMar>
        <w:tblLook w:val="04A0"/>
      </w:tblPr>
      <w:tblGrid>
        <w:gridCol w:w="2614"/>
        <w:gridCol w:w="672"/>
        <w:gridCol w:w="813"/>
        <w:gridCol w:w="959"/>
        <w:gridCol w:w="816"/>
        <w:gridCol w:w="1301"/>
        <w:gridCol w:w="1128"/>
        <w:gridCol w:w="1132"/>
      </w:tblGrid>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Наименование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РЗ</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ПР</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ЦСР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ВР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Утвержденные бюджетные назначения на 2017год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Исполнено за 2017 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исполнения</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ВСЕГО РАСХОДОВ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5211930,48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4971308,13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95,38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3595828,02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3418749,74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95,08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553313,00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71 0 00 00000</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553313,00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71 1 00 00000</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553313,00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71 1 00 С1402</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553313,00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71 1 00 С1402</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553340,00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553313,00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Функционирование законодательных       (представительных) органов государственной власти и представительных органов</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9173,09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985560,26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985527,19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73 0  00 00000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976960,00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976926,93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73 1  00 00000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976960,00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976926,93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73 1  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976960,00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976926,93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73 1  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976960,00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976926,93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77 0 00 00000</w:t>
            </w:r>
            <w:r w:rsidRPr="003C64E9">
              <w:rPr>
                <w:rFonts w:ascii="Times New Roman" w:eastAsia="Times New Roman" w:hAnsi="Times New Roman" w:cs="Times New Roman"/>
                <w:b/>
                <w:bCs/>
                <w:sz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П1485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П1485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8600,26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проведения выборов и референдумов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xml:space="preserve">Непрограммная деятельность </w:t>
            </w:r>
            <w:r w:rsidRPr="003C64E9">
              <w:rPr>
                <w:rFonts w:ascii="Times New Roman" w:eastAsia="Times New Roman" w:hAnsi="Times New Roman" w:cs="Times New Roman"/>
                <w:sz w:val="18"/>
                <w:szCs w:val="18"/>
                <w:lang w:eastAsia="ru-RU"/>
              </w:rPr>
              <w:lastRenderedPageBreak/>
              <w:t>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xml:space="preserve">770 00 </w:t>
            </w:r>
            <w:r w:rsidRPr="003C64E9">
              <w:rPr>
                <w:rFonts w:ascii="Times New Roman" w:eastAsia="Times New Roman" w:hAnsi="Times New Roman" w:cs="Times New Roman"/>
                <w:sz w:val="18"/>
                <w:szCs w:val="18"/>
                <w:lang w:eastAsia="ru-RU"/>
              </w:rPr>
              <w:lastRenderedPageBreak/>
              <w:t>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Обеспечение проведения выборов  и референдумов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773 00 00000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Подготовка и проведение выборов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773 00 С1441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773 00 С1441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Другие общегосударственные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1947754,67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1770736,46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90,91</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Муниципальная программа «Управление муниципальным имуществом и земельными ресурсами Винниковского сельсовета Курского района Курской области на 2015-2019 годы»</w:t>
            </w:r>
            <w:r w:rsidRPr="003C64E9">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Винниковского сельсовета Курского района Курской области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Основное мероприятие «Осуществление мероприятий в области имущественных и земельных отношений»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04 2 01 00000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Мероприятия в области имущественных отношений</w:t>
            </w:r>
            <w:r w:rsidRPr="003C64E9">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 2 01 С1467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r w:rsidRPr="003C64E9">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 2 01 С1467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Мероприятия в области земельных отношений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 2 01 С1468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98000,00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98000,00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 2 01 С1468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98000,00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98000,00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715374,67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607197,53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84,88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Выполнение других обязательств Винниковского сельсовета 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715374,67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607197,53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84,88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658374,67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556197,53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84,48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589874,67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489745,87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83,03</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6500,00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6500,00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1 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62000,00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59951,66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96,70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1 00 П1416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57000,00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51000,00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89,47</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76 1 00 П1416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57000,00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51000,00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89,47</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43598,35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54,50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43598,35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54,50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С1439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43598,35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54,50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С1439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43598,35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54,50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Непрограммные расходы на обеспечение деятельности муниципальных казенных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79 0 00 00000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1048380,00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1015940,58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85,07</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обеспечение деятельности муниципальных казенных учреждений, не вошедшие в программные мероприятия»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791 00 00000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1048380,00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1015940,58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85,07</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791 00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1048380,00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1015940,58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85,07</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791 00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910380,00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891895,85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85,07</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791 00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136000,00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123616,18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90,89</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791 00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428,55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21,43</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xml:space="preserve">Непрограммные расходы </w:t>
            </w:r>
            <w:r w:rsidRPr="003C64E9">
              <w:rPr>
                <w:rFonts w:ascii="Times New Roman" w:eastAsia="Times New Roman" w:hAnsi="Times New Roman" w:cs="Times New Roman"/>
                <w:sz w:val="18"/>
                <w:szCs w:val="18"/>
                <w:lang w:eastAsia="ru-RU"/>
              </w:rPr>
              <w:lastRenderedPageBreak/>
              <w:t>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xml:space="preserve">77 2 00 </w:t>
            </w:r>
            <w:r w:rsidRPr="003C64E9">
              <w:rPr>
                <w:rFonts w:ascii="Times New Roman" w:eastAsia="Times New Roman" w:hAnsi="Times New Roman" w:cs="Times New Roman"/>
                <w:sz w:val="18"/>
                <w:szCs w:val="18"/>
                <w:lang w:eastAsia="ru-RU"/>
              </w:rPr>
              <w:lastRenderedPageBreak/>
              <w:t>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77 2 00 51180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69019,00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Обеспечение 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водный объектах на 2015- 2019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водный объектах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13 1 00 00000</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Основное мероприятие «Обеспечение первичных мер пожарной безопасности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13 1 01 00000</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 1 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 1 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35489,00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Муниципальная программа «Обеспечение доступным и комфортным жильем и коммунальными услугами граждан»  на 2015-2019годы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Подпрограмма «Создание условий для обеспечения доступным комфортным жильем граждан муниципальной программы «Обеспечение доступным и комфортным жильем и коммунальными услугами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07 2 30 00000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66041,00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07 2 03 13600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52833,00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52833,00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07 2 03 13600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52833,00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52833,00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2 03 S3600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13208,00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13208,00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2 03 S3600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13208,00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13208,00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387075,00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345590,31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89,28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387075,00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345590,31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89,28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на 2015-2019годы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387075,00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345590,31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89,28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Подпрограмма «Обеспечение качественными услугами ЖКХ населения»муниципальной программы «Обеспечение доступным и комфортным жильем и коммунальными услугами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07 3 00 00000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387075,00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345590,31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89,28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Основное мероприятие «Осуществление мероприятий по благоустройству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07 3 01 00000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387075,00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345590,31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89,28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xml:space="preserve">Мероприятия по благоустройству Винниковского сельсовета </w:t>
            </w:r>
            <w:r w:rsidRPr="003C64E9">
              <w:rPr>
                <w:rFonts w:ascii="Times New Roman" w:eastAsia="Times New Roman" w:hAnsi="Times New Roman" w:cs="Times New Roman"/>
                <w:sz w:val="18"/>
                <w:szCs w:val="18"/>
                <w:lang w:eastAsia="ru-RU"/>
              </w:rPr>
              <w:lastRenderedPageBreak/>
              <w:t>Курского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3 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387075,00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345590,31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89,28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07 3 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387075,00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345590,31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89,28</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1019546,00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997486,62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97,84</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Муниципальная программа «Развитие культуры в Винниковском сельсовете Курского района Курской области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1019546,00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997486,62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97,84</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Подпрограмма «Искусство» муниципальной программы «Развитие культуры в Винниковском сельсовете Курского района Курской области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1019546,00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997486,62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97,84</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Основное мероприятие «Обеспечение деятельности культурно-досугового дела»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1019546,00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997486,62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97,84</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120680,00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120680,00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120680,00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120680,00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259030,00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245466,63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94,76</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259030,00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245466,63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94,76</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539836,00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531339,99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98,43</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534836,00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529773,67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99,05</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1566,32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31,33</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Государственная поддержка муниципальных учреждений культуры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R5195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xml:space="preserve">Закупка товаров, работ и услуг для обеспечения </w:t>
            </w:r>
            <w:r w:rsidRPr="003C64E9">
              <w:rPr>
                <w:rFonts w:ascii="Times New Roman" w:eastAsia="Times New Roman" w:hAnsi="Times New Roman" w:cs="Times New Roman"/>
                <w:sz w:val="18"/>
                <w:szCs w:val="18"/>
                <w:lang w:eastAsia="ru-RU"/>
              </w:rPr>
              <w:lastRenderedPageBreak/>
              <w:t>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08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 1 01 R5195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Муниципальная программа «Социальная поддержка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02 2 00 00000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Основное мероприятие «Выплата пенсий за выслугу лет, доплат к пениям муниципальным служащим»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02 2 01 00000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Выплаты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 2 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 2 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33932,46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Физическая культура и 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Массовый 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08 0 00 00000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на 2015-2019 годы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2015-2019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08 3 00 00000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Основное мероприятие «Организация отдыха и оздоровления детей, молодежи, развитие физической культуры и 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08 3 01 00000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Создание условий,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 3 01 С1406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r w:rsidR="003C64E9" w:rsidRPr="003C64E9" w:rsidTr="003C64E9">
        <w:trPr>
          <w:tblCellSpacing w:w="0" w:type="dxa"/>
        </w:trPr>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08 3 01 С1406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100,00</w:t>
            </w:r>
          </w:p>
        </w:tc>
      </w:tr>
    </w:tbl>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lastRenderedPageBreak/>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Приложение №3</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 решению Собрания депутатов</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Винниковского сельсовета</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Курского района Курской области</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34-6-7 от 28.04.2018г.</w:t>
      </w:r>
    </w:p>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2460"/>
        <w:gridCol w:w="2070"/>
        <w:gridCol w:w="1467"/>
        <w:gridCol w:w="1380"/>
        <w:gridCol w:w="1548"/>
      </w:tblGrid>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Наименование показателя</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Код источника финансирования дефицита бюджета по бюджетной классификации</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01"/>
            </w:tblGrid>
            <w:tr w:rsidR="003C64E9" w:rsidRPr="003C64E9">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Утвержденные бюджетные назначения</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214"/>
            </w:tblGrid>
            <w:tr w:rsidR="003C64E9" w:rsidRPr="003C64E9">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Исполнено</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82"/>
            </w:tblGrid>
            <w:tr w:rsidR="003C64E9" w:rsidRPr="003C64E9">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Неисполненные назначения</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2294"/>
            </w:tblGrid>
            <w:tr w:rsidR="003C64E9" w:rsidRPr="003C64E9">
              <w:trPr>
                <w:tblCellSpacing w:w="0" w:type="dxa"/>
              </w:trPr>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1</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3</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01"/>
            </w:tblGrid>
            <w:tr w:rsidR="003C64E9" w:rsidRPr="003C64E9">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4</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214"/>
            </w:tblGrid>
            <w:tr w:rsidR="003C64E9" w:rsidRPr="003C64E9">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5</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tblPr>
            <w:tblGrid>
              <w:gridCol w:w="1382"/>
            </w:tblGrid>
            <w:tr w:rsidR="003C64E9" w:rsidRPr="003C64E9">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6</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Источники финансирования дефицита бюджета - всего, в том числе:</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Х</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01"/>
            </w:tblGrid>
            <w:tr w:rsidR="003C64E9" w:rsidRPr="003C64E9">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  1 302 173,48</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214"/>
            </w:tblGrid>
            <w:tr w:rsidR="003C64E9" w:rsidRPr="003C64E9">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  1 192 393,40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382"/>
            </w:tblGrid>
            <w:tr w:rsidR="003C64E9" w:rsidRPr="003C64E9">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b/>
                      <w:bCs/>
                      <w:sz w:val="18"/>
                      <w:lang w:eastAsia="ru-RU"/>
                    </w:rPr>
                    <w:t>   109 780,08</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Изменение остатков средств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000 01 00 00 00 00 0000 000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1 302 173,48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1 192 393,40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109 780,08</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000 01 05 00 00 00 0000 000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1 302 173,48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1 192 393,40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109 780,08</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Увеличение остатков средств, всего</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000 01 05 00 00 00 0000 500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3 909 757,00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3 782 631,45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Увеличение прочих остатков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000 01 05 02 00 00 0000 500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3 909 757,00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3 782 631,45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000 01 05 02 01 00 0000 510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3 909 757,00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3 782 631,45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000 01 05 02 01 10 0000 510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3 909 757,00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3 782 631,45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Уменьшение остатков средств, всего</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000 01 05 00 00 00 0000 600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5 211 930,48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4 975 024,85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Уменьшение прочих остатков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000 01 05 02 00 00 0000 600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5 211 930,48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4 975 024,85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000 01 05 02 01 00 0000 610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5 211 930,48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4 975 024,85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r w:rsidR="003C64E9" w:rsidRPr="003C64E9" w:rsidTr="003C64E9">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lastRenderedPageBreak/>
              <w:t>Уменьшение прочих остатков денежных средств бюджетов сельских поселений</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tbl>
            <w:tblPr>
              <w:tblW w:w="0" w:type="auto"/>
              <w:tblCellSpacing w:w="0" w:type="dxa"/>
              <w:tblCellMar>
                <w:left w:w="0" w:type="dxa"/>
                <w:right w:w="0" w:type="dxa"/>
              </w:tblCellMar>
              <w:tblLook w:val="04A0"/>
            </w:tblPr>
            <w:tblGrid>
              <w:gridCol w:w="1904"/>
            </w:tblGrid>
            <w:tr w:rsidR="003C64E9" w:rsidRPr="003C64E9">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000 01 05 02 01 10 0000 610</w:t>
                  </w:r>
                </w:p>
              </w:tc>
            </w:tr>
          </w:tbl>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5 211 930,48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  4 975 024,85</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C64E9" w:rsidRPr="003C64E9" w:rsidRDefault="003C64E9" w:rsidP="003C64E9">
            <w:pPr>
              <w:spacing w:after="0" w:line="240" w:lineRule="auto"/>
              <w:jc w:val="both"/>
              <w:rPr>
                <w:rFonts w:ascii="Times New Roman" w:eastAsia="Times New Roman" w:hAnsi="Times New Roman" w:cs="Times New Roman"/>
                <w:sz w:val="18"/>
                <w:szCs w:val="18"/>
                <w:lang w:eastAsia="ru-RU"/>
              </w:rPr>
            </w:pPr>
            <w:r w:rsidRPr="003C64E9">
              <w:rPr>
                <w:rFonts w:ascii="Times New Roman" w:eastAsia="Times New Roman" w:hAnsi="Times New Roman" w:cs="Times New Roman"/>
                <w:sz w:val="18"/>
                <w:szCs w:val="18"/>
                <w:lang w:eastAsia="ru-RU"/>
              </w:rPr>
              <w:t>X</w:t>
            </w:r>
          </w:p>
        </w:tc>
      </w:tr>
    </w:tbl>
    <w:p w:rsidR="003C64E9" w:rsidRPr="003C64E9" w:rsidRDefault="003C64E9" w:rsidP="003C64E9">
      <w:pPr>
        <w:shd w:val="clear" w:color="auto" w:fill="EEEEEE"/>
        <w:spacing w:after="0" w:line="240" w:lineRule="auto"/>
        <w:jc w:val="both"/>
        <w:rPr>
          <w:rFonts w:ascii="Tahoma" w:eastAsia="Times New Roman" w:hAnsi="Tahoma" w:cs="Tahoma"/>
          <w:color w:val="000000"/>
          <w:sz w:val="18"/>
          <w:szCs w:val="18"/>
          <w:lang w:eastAsia="ru-RU"/>
        </w:rPr>
      </w:pPr>
      <w:r w:rsidRPr="003C64E9">
        <w:rPr>
          <w:rFonts w:ascii="Tahoma" w:eastAsia="Times New Roman" w:hAnsi="Tahoma" w:cs="Tahoma"/>
          <w:color w:val="000000"/>
          <w:sz w:val="18"/>
          <w:szCs w:val="18"/>
          <w:lang w:eastAsia="ru-RU"/>
        </w:rPr>
        <w:t> </w:t>
      </w:r>
    </w:p>
    <w:p w:rsidR="005318CD" w:rsidRPr="003C64E9" w:rsidRDefault="005318CD" w:rsidP="003C64E9">
      <w:pPr>
        <w:rPr>
          <w:szCs w:val="27"/>
        </w:rPr>
      </w:pPr>
    </w:p>
    <w:sectPr w:rsidR="005318CD" w:rsidRPr="003C64E9"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2305A"/>
    <w:rsid w:val="001423F8"/>
    <w:rsid w:val="00170C8F"/>
    <w:rsid w:val="00184FBA"/>
    <w:rsid w:val="00191DE7"/>
    <w:rsid w:val="0019700C"/>
    <w:rsid w:val="001C19FC"/>
    <w:rsid w:val="001D2825"/>
    <w:rsid w:val="001E1AFB"/>
    <w:rsid w:val="001E7266"/>
    <w:rsid w:val="001E741E"/>
    <w:rsid w:val="0024706E"/>
    <w:rsid w:val="00274B34"/>
    <w:rsid w:val="002D0885"/>
    <w:rsid w:val="002E63B2"/>
    <w:rsid w:val="003B2E32"/>
    <w:rsid w:val="003C64E9"/>
    <w:rsid w:val="003E3844"/>
    <w:rsid w:val="00404D9C"/>
    <w:rsid w:val="00436E24"/>
    <w:rsid w:val="00474D2D"/>
    <w:rsid w:val="00484684"/>
    <w:rsid w:val="004931D1"/>
    <w:rsid w:val="004B670A"/>
    <w:rsid w:val="004B6B10"/>
    <w:rsid w:val="004E36A3"/>
    <w:rsid w:val="00526E87"/>
    <w:rsid w:val="005318CD"/>
    <w:rsid w:val="005A6DF4"/>
    <w:rsid w:val="005B2AC2"/>
    <w:rsid w:val="00643B79"/>
    <w:rsid w:val="00662FED"/>
    <w:rsid w:val="0075677B"/>
    <w:rsid w:val="00760B51"/>
    <w:rsid w:val="00791E1F"/>
    <w:rsid w:val="007E6D82"/>
    <w:rsid w:val="007F7554"/>
    <w:rsid w:val="008234EB"/>
    <w:rsid w:val="008667C6"/>
    <w:rsid w:val="00890C98"/>
    <w:rsid w:val="008B123D"/>
    <w:rsid w:val="00992ECA"/>
    <w:rsid w:val="009A6460"/>
    <w:rsid w:val="009B79DE"/>
    <w:rsid w:val="00A11AE9"/>
    <w:rsid w:val="00A36CC5"/>
    <w:rsid w:val="00A46EF5"/>
    <w:rsid w:val="00A57F4F"/>
    <w:rsid w:val="00AA5004"/>
    <w:rsid w:val="00AB68DE"/>
    <w:rsid w:val="00AE7AED"/>
    <w:rsid w:val="00B635A6"/>
    <w:rsid w:val="00B81A6D"/>
    <w:rsid w:val="00B867D2"/>
    <w:rsid w:val="00BC1C4D"/>
    <w:rsid w:val="00BF5871"/>
    <w:rsid w:val="00C43291"/>
    <w:rsid w:val="00C9460C"/>
    <w:rsid w:val="00CB34E0"/>
    <w:rsid w:val="00CC1D44"/>
    <w:rsid w:val="00CE11EE"/>
    <w:rsid w:val="00D02304"/>
    <w:rsid w:val="00D029F3"/>
    <w:rsid w:val="00D3127A"/>
    <w:rsid w:val="00DF6525"/>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3319</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70</cp:revision>
  <cp:lastPrinted>2024-01-19T13:00:00Z</cp:lastPrinted>
  <dcterms:created xsi:type="dcterms:W3CDTF">2023-11-27T12:06:00Z</dcterms:created>
  <dcterms:modified xsi:type="dcterms:W3CDTF">2024-08-16T07:58:00Z</dcterms:modified>
</cp:coreProperties>
</file>